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40" w:lineRule="exact"/>
        <w:ind w:left="0" w:leftChars="0" w:right="0" w:firstLine="0" w:firstLineChars="0"/>
        <w:jc w:val="both"/>
        <w:textAlignment w:val="auto"/>
        <w:outlineLvl w:val="9"/>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附件</w:t>
      </w:r>
      <w:r>
        <w:rPr>
          <w:rFonts w:hint="eastAsia" w:ascii="黑体" w:hAnsi="黑体" w:eastAsia="黑体" w:cs="黑体"/>
          <w:b w:val="0"/>
          <w:bCs w:val="0"/>
          <w:color w:val="auto"/>
          <w:kern w:val="0"/>
          <w:sz w:val="32"/>
          <w:szCs w:val="32"/>
          <w:lang w:val="en-US" w:eastAsia="zh-CN"/>
        </w:rPr>
        <w:t>1</w:t>
      </w:r>
    </w:p>
    <w:p>
      <w:pPr>
        <w:widowControl w:val="0"/>
        <w:wordWrap/>
        <w:adjustRightInd/>
        <w:snapToGrid/>
        <w:spacing w:line="640" w:lineRule="exact"/>
        <w:ind w:left="0" w:leftChars="0" w:right="0" w:firstLine="0" w:firstLineChars="0"/>
        <w:jc w:val="center"/>
        <w:textAlignment w:val="auto"/>
        <w:outlineLvl w:val="9"/>
        <w:rPr>
          <w:rFonts w:hint="eastAsia" w:ascii="华文中宋" w:hAnsi="华文中宋" w:eastAsia="华文中宋" w:cs="Arial"/>
          <w:b/>
          <w:bCs/>
          <w:color w:val="auto"/>
          <w:kern w:val="0"/>
          <w:sz w:val="44"/>
          <w:szCs w:val="44"/>
        </w:rPr>
      </w:pPr>
    </w:p>
    <w:p>
      <w:pPr>
        <w:widowControl w:val="0"/>
        <w:wordWrap/>
        <w:adjustRightInd/>
        <w:snapToGrid/>
        <w:spacing w:line="640" w:lineRule="exact"/>
        <w:ind w:right="0"/>
        <w:jc w:val="center"/>
        <w:textAlignment w:val="auto"/>
        <w:outlineLvl w:val="9"/>
        <w:rPr>
          <w:rFonts w:hint="eastAsia" w:ascii="华文中宋" w:hAnsi="华文中宋" w:eastAsia="华文中宋" w:cs="Arial"/>
          <w:b/>
          <w:bCs/>
          <w:color w:val="auto"/>
          <w:kern w:val="0"/>
          <w:sz w:val="44"/>
          <w:szCs w:val="44"/>
        </w:rPr>
      </w:pPr>
      <w:r>
        <w:rPr>
          <w:rFonts w:hint="eastAsia" w:ascii="华文中宋" w:hAnsi="华文中宋" w:eastAsia="华文中宋" w:cs="Arial"/>
          <w:b/>
          <w:bCs/>
          <w:color w:val="auto"/>
          <w:kern w:val="0"/>
          <w:sz w:val="44"/>
          <w:szCs w:val="44"/>
          <w:lang w:val="en-US" w:eastAsia="zh-CN"/>
        </w:rPr>
        <w:t>冶金、建材重点行业</w:t>
      </w:r>
      <w:r>
        <w:rPr>
          <w:rFonts w:hint="default" w:ascii="华文中宋" w:hAnsi="华文中宋" w:eastAsia="华文中宋" w:cs="Arial"/>
          <w:b/>
          <w:bCs/>
          <w:color w:val="auto"/>
          <w:kern w:val="0"/>
          <w:sz w:val="44"/>
          <w:szCs w:val="44"/>
          <w:lang w:eastAsia="zh-CN"/>
        </w:rPr>
        <w:t>严格能效约束推动节能降碳</w:t>
      </w:r>
      <w:r>
        <w:rPr>
          <w:rFonts w:hint="eastAsia" w:ascii="华文中宋" w:hAnsi="华文中宋" w:eastAsia="华文中宋" w:cs="Arial"/>
          <w:b/>
          <w:bCs/>
          <w:color w:val="auto"/>
          <w:kern w:val="0"/>
          <w:sz w:val="44"/>
          <w:szCs w:val="44"/>
          <w:lang w:eastAsia="zh-CN"/>
        </w:rPr>
        <w:t>工作方案（</w:t>
      </w:r>
      <w:r>
        <w:rPr>
          <w:rFonts w:hint="eastAsia" w:ascii="华文中宋" w:hAnsi="华文中宋" w:eastAsia="华文中宋" w:cs="Arial"/>
          <w:b/>
          <w:bCs/>
          <w:color w:val="auto"/>
          <w:kern w:val="0"/>
          <w:sz w:val="44"/>
          <w:szCs w:val="44"/>
          <w:lang w:val="en-US" w:eastAsia="zh-CN"/>
        </w:rPr>
        <w:t>2021-2025年</w:t>
      </w:r>
      <w:r>
        <w:rPr>
          <w:rFonts w:hint="eastAsia" w:ascii="华文中宋" w:hAnsi="华文中宋" w:eastAsia="华文中宋" w:cs="Arial"/>
          <w:b/>
          <w:bCs/>
          <w:color w:val="auto"/>
          <w:kern w:val="0"/>
          <w:sz w:val="44"/>
          <w:szCs w:val="44"/>
          <w:lang w:eastAsia="zh-CN"/>
        </w:rPr>
        <w:t>）</w:t>
      </w:r>
    </w:p>
    <w:p>
      <w:pPr>
        <w:widowControl w:val="0"/>
        <w:wordWrap/>
        <w:adjustRightInd/>
        <w:snapToGrid/>
        <w:spacing w:line="640" w:lineRule="exact"/>
        <w:ind w:left="0" w:leftChars="0" w:right="0" w:firstLine="600" w:firstLineChars="200"/>
        <w:jc w:val="both"/>
        <w:textAlignment w:val="auto"/>
        <w:outlineLvl w:val="9"/>
        <w:rPr>
          <w:rFonts w:hint="eastAsia" w:ascii="华文仿宋" w:hAnsi="华文仿宋" w:eastAsia="华文仿宋" w:cs="Arial"/>
          <w:color w:val="auto"/>
          <w:kern w:val="0"/>
          <w:sz w:val="30"/>
          <w:szCs w:val="30"/>
        </w:rPr>
      </w:pP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为坚决遏制“两高”项目盲目发展，推动钢铁、电解铝、水泥、平板玻璃等重点行业绿色低碳转型，确保如期实现碳达峰目标，根据《冶金、建材重点行业严格能效约束推动节能降碳行动方案（2021-2025年）》《关于严格能效约束推动重点领域节能降碳的实施方案》，制定本方案。</w:t>
      </w:r>
    </w:p>
    <w:p>
      <w:pPr>
        <w:widowControl w:val="0"/>
        <w:wordWrap/>
        <w:adjustRightInd/>
        <w:snapToGrid/>
        <w:spacing w:line="640" w:lineRule="exact"/>
        <w:ind w:left="0" w:leftChars="0" w:right="0" w:firstLine="640" w:firstLineChars="20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w:t>
      </w:r>
      <w:r>
        <w:rPr>
          <w:rFonts w:hint="eastAsia" w:ascii="黑体" w:hAnsi="黑体" w:eastAsia="黑体" w:cs="黑体"/>
          <w:b w:val="0"/>
          <w:bCs w:val="0"/>
          <w:color w:val="auto"/>
          <w:kern w:val="0"/>
          <w:sz w:val="32"/>
          <w:szCs w:val="32"/>
          <w:lang w:eastAsia="zh-CN"/>
        </w:rPr>
        <w:t>工作目标</w:t>
      </w: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到2025年，</w:t>
      </w:r>
      <w:r>
        <w:rPr>
          <w:rFonts w:hint="eastAsia" w:ascii="仿宋_GB2312" w:hAnsi="仿宋_GB2312" w:eastAsia="仿宋_GB2312" w:cs="仿宋_GB2312"/>
          <w:color w:val="auto"/>
          <w:kern w:val="0"/>
          <w:sz w:val="32"/>
          <w:szCs w:val="32"/>
          <w:lang w:val="en-US" w:eastAsia="zh-CN"/>
        </w:rPr>
        <w:t>钢铁、电解铝、水泥、平板玻璃行业能效达到标杆水平的产能比例超过 30%，行业整体能效水平明显提升，碳排放强度明显下降，绿色低碳发展能力显著增强。</w:t>
      </w: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重点行业能效基准水平和标杆水平表</w:t>
      </w:r>
    </w:p>
    <w:tbl>
      <w:tblPr>
        <w:tblStyle w:val="5"/>
        <w:tblW w:w="84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7"/>
        <w:gridCol w:w="693"/>
        <w:gridCol w:w="1487"/>
        <w:gridCol w:w="1150"/>
        <w:gridCol w:w="1250"/>
        <w:gridCol w:w="1125"/>
        <w:gridCol w:w="1100"/>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i w:val="0"/>
                <w:color w:val="000000"/>
                <w:sz w:val="24"/>
                <w:szCs w:val="24"/>
              </w:rPr>
            </w:pPr>
            <w:r>
              <w:rPr>
                <w:rFonts w:hint="eastAsia" w:ascii="黑体" w:hAnsi="宋体" w:eastAsia="黑体" w:cs="黑体"/>
                <w:i w:val="0"/>
                <w:color w:val="000000"/>
                <w:kern w:val="0"/>
                <w:sz w:val="24"/>
                <w:szCs w:val="24"/>
                <w:lang w:val="en-US" w:eastAsia="zh-CN" w:bidi="ar-SA"/>
              </w:rPr>
              <w:t>序号</w:t>
            </w: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rPr>
            </w:pPr>
            <w:r>
              <w:rPr>
                <w:rFonts w:hint="eastAsia" w:ascii="黑体" w:hAnsi="宋体" w:eastAsia="黑体" w:cs="黑体"/>
                <w:i w:val="0"/>
                <w:color w:val="000000"/>
                <w:kern w:val="0"/>
                <w:sz w:val="24"/>
                <w:szCs w:val="24"/>
                <w:lang w:val="en-US" w:eastAsia="zh-CN" w:bidi="ar-SA"/>
              </w:rPr>
              <w:t>产品名称</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rPr>
            </w:pPr>
            <w:r>
              <w:rPr>
                <w:rFonts w:hint="eastAsia" w:ascii="黑体" w:hAnsi="宋体" w:eastAsia="黑体" w:cs="黑体"/>
                <w:i w:val="0"/>
                <w:color w:val="000000"/>
                <w:kern w:val="0"/>
                <w:sz w:val="24"/>
                <w:szCs w:val="24"/>
                <w:lang w:val="en-US" w:eastAsia="zh-CN" w:bidi="ar-SA"/>
              </w:rPr>
              <w:t>指标名称</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rPr>
            </w:pPr>
            <w:r>
              <w:rPr>
                <w:rFonts w:hint="eastAsia" w:ascii="黑体" w:hAnsi="宋体" w:eastAsia="黑体" w:cs="黑体"/>
                <w:i w:val="0"/>
                <w:color w:val="000000"/>
                <w:kern w:val="0"/>
                <w:sz w:val="24"/>
                <w:szCs w:val="24"/>
                <w:lang w:val="en-US" w:eastAsia="zh-CN" w:bidi="ar-SA"/>
              </w:rPr>
              <w:t>指标单位</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rPr>
            </w:pPr>
            <w:r>
              <w:rPr>
                <w:rFonts w:hint="eastAsia" w:ascii="黑体" w:hAnsi="宋体" w:eastAsia="黑体" w:cs="黑体"/>
                <w:i w:val="0"/>
                <w:color w:val="000000"/>
                <w:kern w:val="0"/>
                <w:sz w:val="24"/>
                <w:szCs w:val="24"/>
                <w:lang w:val="en-US" w:eastAsia="zh-CN" w:bidi="ar-SA"/>
              </w:rPr>
              <w:t>基准水平</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rPr>
            </w:pPr>
            <w:r>
              <w:rPr>
                <w:rFonts w:hint="eastAsia" w:ascii="黑体" w:hAnsi="宋体" w:eastAsia="黑体" w:cs="黑体"/>
                <w:i w:val="0"/>
                <w:color w:val="000000"/>
                <w:kern w:val="0"/>
                <w:sz w:val="24"/>
                <w:szCs w:val="24"/>
                <w:lang w:val="en-US" w:eastAsia="zh-CN" w:bidi="ar-SA"/>
              </w:rPr>
              <w:t>标杆水平</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4"/>
                <w:szCs w:val="24"/>
              </w:rPr>
            </w:pPr>
            <w:r>
              <w:rPr>
                <w:rFonts w:hint="eastAsia" w:ascii="黑体" w:hAnsi="宋体" w:eastAsia="黑体" w:cs="黑体"/>
                <w:i w:val="0"/>
                <w:color w:val="000000"/>
                <w:kern w:val="0"/>
                <w:sz w:val="24"/>
                <w:szCs w:val="24"/>
                <w:lang w:val="en-US" w:eastAsia="zh-CN" w:bidi="ar-SA"/>
              </w:rPr>
              <w:t>相关计算等参考标准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45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lang w:val="en-US"/>
              </w:rPr>
            </w:pPr>
            <w:r>
              <w:rPr>
                <w:rFonts w:hint="eastAsia" w:ascii="仿宋_GB2312" w:hAnsi="宋体" w:eastAsia="仿宋_GB2312" w:cs="仿宋_GB2312"/>
                <w:i w:val="0"/>
                <w:color w:val="000000"/>
                <w:kern w:val="0"/>
                <w:sz w:val="24"/>
                <w:szCs w:val="24"/>
                <w:lang w:val="en-US" w:eastAsia="zh-CN" w:bidi="ar-SA"/>
              </w:rPr>
              <w:t>1</w:t>
            </w:r>
          </w:p>
        </w:tc>
        <w:tc>
          <w:tcPr>
            <w:tcW w:w="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钢铁</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高炉工序</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单位产品能耗</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千克标准煤/吨</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435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361</w:t>
            </w: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GB 21256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45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p>
        </w:tc>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转炉工序</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单位产品能耗</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千克标准煤/吨</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-10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-30</w:t>
            </w:r>
          </w:p>
        </w:tc>
        <w:tc>
          <w:tcPr>
            <w:tcW w:w="12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2</w:t>
            </w: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电解铝</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铝液交流电耗</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千瓦时/吨</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13350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13000</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GB 21346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4"/>
                <w:szCs w:val="24"/>
                <w:lang w:val="en-US" w:eastAsia="zh-CN" w:bidi="ar-SA"/>
              </w:rPr>
            </w:pPr>
            <w:r>
              <w:rPr>
                <w:rFonts w:hint="eastAsia" w:ascii="黑体" w:hAnsi="宋体" w:eastAsia="黑体" w:cs="黑体"/>
                <w:i w:val="0"/>
                <w:color w:val="000000"/>
                <w:kern w:val="0"/>
                <w:sz w:val="24"/>
                <w:szCs w:val="24"/>
                <w:lang w:val="en-US" w:eastAsia="zh-CN" w:bidi="ar-SA"/>
              </w:rPr>
              <w:t>序号</w:t>
            </w: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4"/>
                <w:szCs w:val="24"/>
                <w:lang w:val="en-US" w:eastAsia="zh-CN" w:bidi="ar-SA"/>
              </w:rPr>
            </w:pPr>
            <w:r>
              <w:rPr>
                <w:rFonts w:hint="eastAsia" w:ascii="黑体" w:hAnsi="宋体" w:eastAsia="黑体" w:cs="黑体"/>
                <w:i w:val="0"/>
                <w:color w:val="000000"/>
                <w:kern w:val="0"/>
                <w:sz w:val="24"/>
                <w:szCs w:val="24"/>
                <w:lang w:val="en-US" w:eastAsia="zh-CN" w:bidi="ar-SA"/>
              </w:rPr>
              <w:t>产品名称</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4"/>
                <w:szCs w:val="24"/>
                <w:lang w:val="en-US" w:eastAsia="zh-CN" w:bidi="ar-SA"/>
              </w:rPr>
            </w:pPr>
            <w:r>
              <w:rPr>
                <w:rFonts w:hint="eastAsia" w:ascii="黑体" w:hAnsi="宋体" w:eastAsia="黑体" w:cs="黑体"/>
                <w:i w:val="0"/>
                <w:color w:val="000000"/>
                <w:kern w:val="0"/>
                <w:sz w:val="24"/>
                <w:szCs w:val="24"/>
                <w:lang w:val="en-US" w:eastAsia="zh-CN" w:bidi="ar-SA"/>
              </w:rPr>
              <w:t>指标</w:t>
            </w:r>
            <w:r>
              <w:rPr>
                <w:rFonts w:hint="eastAsia" w:ascii="黑体" w:hAnsi="宋体" w:eastAsia="黑体" w:cs="黑体"/>
                <w:i w:val="0"/>
                <w:color w:val="auto"/>
                <w:kern w:val="0"/>
                <w:sz w:val="24"/>
                <w:szCs w:val="24"/>
                <w:lang w:val="en-US" w:eastAsia="zh-CN" w:bidi="ar-SA"/>
              </w:rPr>
              <w:t>名称</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4"/>
                <w:szCs w:val="24"/>
                <w:lang w:val="en-US" w:eastAsia="zh-CN" w:bidi="ar-SA"/>
              </w:rPr>
            </w:pPr>
            <w:r>
              <w:rPr>
                <w:rFonts w:hint="eastAsia" w:ascii="黑体" w:hAnsi="宋体" w:eastAsia="黑体" w:cs="黑体"/>
                <w:i w:val="0"/>
                <w:color w:val="000000"/>
                <w:kern w:val="0"/>
                <w:sz w:val="24"/>
                <w:szCs w:val="24"/>
                <w:lang w:val="en-US" w:eastAsia="zh-CN" w:bidi="ar-SA"/>
              </w:rPr>
              <w:t>指标单位</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4"/>
                <w:szCs w:val="24"/>
                <w:lang w:val="en-US" w:eastAsia="zh-CN" w:bidi="ar-SA"/>
              </w:rPr>
            </w:pPr>
            <w:r>
              <w:rPr>
                <w:rFonts w:hint="eastAsia" w:ascii="黑体" w:hAnsi="宋体" w:eastAsia="黑体" w:cs="黑体"/>
                <w:i w:val="0"/>
                <w:color w:val="000000"/>
                <w:kern w:val="0"/>
                <w:sz w:val="24"/>
                <w:szCs w:val="24"/>
                <w:lang w:val="en-US" w:eastAsia="zh-CN" w:bidi="ar-SA"/>
              </w:rPr>
              <w:t>基准水平</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4"/>
                <w:szCs w:val="24"/>
                <w:lang w:val="en-US" w:eastAsia="zh-CN" w:bidi="ar-SA"/>
              </w:rPr>
            </w:pPr>
            <w:r>
              <w:rPr>
                <w:rFonts w:hint="eastAsia" w:ascii="黑体" w:hAnsi="宋体" w:eastAsia="黑体" w:cs="黑体"/>
                <w:i w:val="0"/>
                <w:color w:val="000000"/>
                <w:kern w:val="0"/>
                <w:sz w:val="24"/>
                <w:szCs w:val="24"/>
                <w:lang w:val="en-US" w:eastAsia="zh-CN" w:bidi="ar-SA"/>
              </w:rPr>
              <w:t>标杆水平</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kern w:val="0"/>
                <w:sz w:val="24"/>
                <w:szCs w:val="24"/>
                <w:lang w:val="en-US" w:eastAsia="zh-CN" w:bidi="ar-SA"/>
              </w:rPr>
            </w:pPr>
            <w:r>
              <w:rPr>
                <w:rFonts w:hint="eastAsia" w:ascii="黑体" w:hAnsi="宋体" w:eastAsia="黑体" w:cs="黑体"/>
                <w:i w:val="0"/>
                <w:color w:val="000000"/>
                <w:kern w:val="0"/>
                <w:sz w:val="24"/>
                <w:szCs w:val="24"/>
                <w:lang w:val="en-US" w:eastAsia="zh-CN" w:bidi="ar-SA"/>
              </w:rPr>
              <w:t>相关计算等参考标准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3</w:t>
            </w:r>
          </w:p>
        </w:tc>
        <w:tc>
          <w:tcPr>
            <w:tcW w:w="2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水泥熟料</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可比熟料综合能耗</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千克</w:t>
            </w:r>
            <w:bookmarkStart w:id="0" w:name="_GoBack"/>
            <w:bookmarkEnd w:id="0"/>
            <w:r>
              <w:rPr>
                <w:rFonts w:hint="eastAsia" w:ascii="仿宋_GB2312" w:hAnsi="宋体" w:eastAsia="仿宋_GB2312" w:cs="仿宋_GB2312"/>
                <w:i w:val="0"/>
                <w:color w:val="000000"/>
                <w:kern w:val="0"/>
                <w:sz w:val="24"/>
                <w:szCs w:val="24"/>
                <w:lang w:val="en-US" w:eastAsia="zh-CN" w:bidi="ar-SA"/>
              </w:rPr>
              <w:t>标准煤/吨</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117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100</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GB 16780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45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lang w:val="en-US"/>
              </w:rPr>
            </w:pPr>
            <w:r>
              <w:rPr>
                <w:rFonts w:hint="eastAsia" w:ascii="仿宋_GB2312" w:hAnsi="宋体" w:eastAsia="仿宋_GB2312" w:cs="仿宋_GB2312"/>
                <w:i w:val="0"/>
                <w:color w:val="000000"/>
                <w:kern w:val="0"/>
                <w:sz w:val="24"/>
                <w:szCs w:val="24"/>
                <w:lang w:val="en-US" w:eastAsia="zh-CN" w:bidi="ar-SA"/>
              </w:rPr>
              <w:t>4</w:t>
            </w:r>
          </w:p>
        </w:tc>
        <w:tc>
          <w:tcPr>
            <w:tcW w:w="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平板玻璃</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≥500≤800吨/天</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单位产品能耗</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千克标准煤/重量箱</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13.5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9.5</w:t>
            </w: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GB 21340</w:t>
            </w:r>
            <w:r>
              <w:rPr>
                <w:rFonts w:hint="eastAsia" w:ascii="仿宋_GB2312" w:hAnsi="宋体" w:eastAsia="仿宋_GB2312" w:cs="仿宋_GB2312"/>
                <w:i w:val="0"/>
                <w:color w:val="000000"/>
                <w:kern w:val="0"/>
                <w:sz w:val="24"/>
                <w:szCs w:val="24"/>
                <w:lang w:val="en-US" w:eastAsia="zh-CN" w:bidi="ar-SA"/>
              </w:rPr>
              <w:br w:type="textWrapping"/>
            </w:r>
            <w:r>
              <w:rPr>
                <w:rFonts w:hint="eastAsia" w:ascii="仿宋_GB2312" w:hAnsi="宋体" w:eastAsia="仿宋_GB2312" w:cs="仿宋_GB2312"/>
                <w:i w:val="0"/>
                <w:color w:val="000000"/>
                <w:kern w:val="0"/>
                <w:sz w:val="24"/>
                <w:szCs w:val="24"/>
                <w:lang w:val="en-US" w:eastAsia="zh-CN" w:bidi="ar-SA"/>
              </w:rPr>
              <w:t>汽车用平板玻璃能耗修正系数参照此标准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45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p>
        </w:tc>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＞800吨/天</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单位产品能耗</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千克标准煤/重量箱</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12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rPr>
            </w:pPr>
            <w:r>
              <w:rPr>
                <w:rFonts w:hint="eastAsia" w:ascii="仿宋_GB2312" w:hAnsi="宋体" w:eastAsia="仿宋_GB2312" w:cs="仿宋_GB2312"/>
                <w:i w:val="0"/>
                <w:color w:val="000000"/>
                <w:kern w:val="0"/>
                <w:sz w:val="24"/>
                <w:szCs w:val="24"/>
                <w:lang w:val="en-US" w:eastAsia="zh-CN" w:bidi="ar-SA"/>
              </w:rPr>
              <w:t>8</w:t>
            </w:r>
          </w:p>
        </w:tc>
        <w:tc>
          <w:tcPr>
            <w:tcW w:w="12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rPr>
            </w:pPr>
          </w:p>
        </w:tc>
      </w:tr>
    </w:tbl>
    <w:p>
      <w:pPr>
        <w:widowControl w:val="0"/>
        <w:wordWrap/>
        <w:adjustRightInd/>
        <w:snapToGrid/>
        <w:spacing w:line="640" w:lineRule="exact"/>
        <w:ind w:left="0" w:leftChars="0" w:right="0" w:firstLine="640" w:firstLineChars="200"/>
        <w:jc w:val="both"/>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二、</w:t>
      </w:r>
      <w:r>
        <w:rPr>
          <w:rFonts w:hint="eastAsia" w:ascii="黑体" w:hAnsi="黑体" w:eastAsia="黑体" w:cs="黑体"/>
          <w:b w:val="0"/>
          <w:bCs w:val="0"/>
          <w:color w:val="auto"/>
          <w:kern w:val="0"/>
          <w:sz w:val="32"/>
          <w:szCs w:val="32"/>
          <w:lang w:eastAsia="zh-CN"/>
        </w:rPr>
        <w:t>工作</w:t>
      </w:r>
      <w:r>
        <w:rPr>
          <w:rFonts w:hint="eastAsia" w:ascii="黑体" w:hAnsi="黑体" w:eastAsia="黑体" w:cs="黑体"/>
          <w:b w:val="0"/>
          <w:bCs w:val="0"/>
          <w:color w:val="auto"/>
          <w:kern w:val="0"/>
          <w:sz w:val="32"/>
          <w:szCs w:val="32"/>
        </w:rPr>
        <w:t>任务</w:t>
      </w: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楷体_GB2312" w:hAnsi="楷体_GB2312" w:eastAsia="楷体_GB2312" w:cs="楷体_GB2312"/>
          <w:b w:val="0"/>
          <w:bCs w:val="0"/>
          <w:color w:val="auto"/>
          <w:kern w:val="0"/>
          <w:sz w:val="32"/>
          <w:szCs w:val="32"/>
        </w:rPr>
        <w:t>（一）</w:t>
      </w:r>
      <w:r>
        <w:rPr>
          <w:rFonts w:hint="eastAsia" w:ascii="楷体_GB2312" w:hAnsi="楷体_GB2312" w:eastAsia="楷体_GB2312" w:cs="楷体_GB2312"/>
          <w:b w:val="0"/>
          <w:bCs w:val="0"/>
          <w:color w:val="auto"/>
          <w:kern w:val="0"/>
          <w:sz w:val="32"/>
          <w:szCs w:val="32"/>
          <w:lang w:val="en-US" w:eastAsia="zh-CN"/>
        </w:rPr>
        <w:t>调查确定技术改造企业清单。</w:t>
      </w:r>
      <w:r>
        <w:rPr>
          <w:rFonts w:hint="eastAsia" w:ascii="仿宋_GB2312" w:hAnsi="仿宋_GB2312" w:eastAsia="仿宋_GB2312" w:cs="仿宋_GB2312"/>
          <w:color w:val="auto"/>
          <w:kern w:val="0"/>
          <w:sz w:val="32"/>
          <w:szCs w:val="32"/>
          <w:lang w:val="en-US" w:eastAsia="zh-CN"/>
        </w:rPr>
        <w:t>由各市州和兰州新区发展改革部门会同工信部门按属地原则组织开展钢铁、电解铝、水泥、平板玻璃企业现有项目能效情况调查，由企业委托第三方机构编制（有条件的企业可自行编制）相关产品（对应“重点行业能效基准水平和标杆水平表”的产品名称）能源利用状况报告，明确相关产品对应指标的能效值，按照有关法律法规和标准规范，经企业申辩和专家评审，确定企业相关产品能效水平，逐一登记造册，联合报送省发展改革委、省工信厅。省发展改革委、省工信厅依据报送结果汇总建立企业能效清单目录，将能效达到标杆水平和低于基准水平的企业，分别列入能效先进和落后清单，在省发展改革委、省工信厅门户网站面向社会公开，接受监督。对</w:t>
      </w:r>
      <w:r>
        <w:rPr>
          <w:rFonts w:hint="eastAsia" w:ascii="仿宋_GB2312" w:hAnsi="仿宋_GB2312" w:eastAsia="仿宋_GB2312" w:cs="仿宋_GB2312"/>
          <w:color w:val="auto"/>
          <w:kern w:val="0"/>
          <w:sz w:val="32"/>
          <w:szCs w:val="32"/>
        </w:rPr>
        <w:t>能效水平突出企业</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lang w:val="en-US" w:eastAsia="zh-CN"/>
        </w:rPr>
        <w:t>节能降碳或改造提升效果明显的企业，积极组织</w:t>
      </w:r>
      <w:r>
        <w:rPr>
          <w:rFonts w:hint="eastAsia" w:ascii="仿宋_GB2312" w:hAnsi="仿宋_GB2312" w:eastAsia="仿宋_GB2312" w:cs="仿宋_GB2312"/>
          <w:color w:val="auto"/>
          <w:kern w:val="0"/>
          <w:sz w:val="32"/>
          <w:szCs w:val="32"/>
          <w:lang w:eastAsia="zh-CN"/>
        </w:rPr>
        <w:t>推荐</w:t>
      </w:r>
      <w:r>
        <w:rPr>
          <w:rFonts w:hint="eastAsia" w:ascii="仿宋_GB2312" w:hAnsi="仿宋_GB2312" w:eastAsia="仿宋_GB2312" w:cs="仿宋_GB2312"/>
          <w:color w:val="auto"/>
          <w:kern w:val="0"/>
          <w:sz w:val="32"/>
          <w:szCs w:val="32"/>
          <w:lang w:val="en-US" w:eastAsia="zh-CN"/>
        </w:rPr>
        <w:t>申报</w:t>
      </w:r>
      <w:r>
        <w:rPr>
          <w:rFonts w:hint="eastAsia" w:ascii="仿宋_GB2312" w:hAnsi="仿宋_GB2312" w:eastAsia="仿宋_GB2312" w:cs="仿宋_GB2312"/>
          <w:color w:val="auto"/>
          <w:kern w:val="0"/>
          <w:sz w:val="32"/>
          <w:szCs w:val="32"/>
          <w:lang w:eastAsia="zh-CN"/>
        </w:rPr>
        <w:t>纳入国家</w:t>
      </w:r>
      <w:r>
        <w:rPr>
          <w:rFonts w:hint="eastAsia" w:ascii="仿宋_GB2312" w:hAnsi="仿宋_GB2312" w:eastAsia="仿宋_GB2312" w:cs="仿宋_GB2312"/>
          <w:color w:val="auto"/>
          <w:kern w:val="0"/>
          <w:sz w:val="32"/>
          <w:szCs w:val="32"/>
          <w:lang w:val="en-US" w:eastAsia="zh-CN"/>
        </w:rPr>
        <w:t>行业</w:t>
      </w:r>
      <w:r>
        <w:rPr>
          <w:rFonts w:hint="eastAsia" w:ascii="仿宋_GB2312" w:hAnsi="仿宋_GB2312" w:eastAsia="仿宋_GB2312" w:cs="仿宋_GB2312"/>
          <w:color w:val="auto"/>
          <w:kern w:val="0"/>
          <w:sz w:val="32"/>
          <w:szCs w:val="32"/>
        </w:rPr>
        <w:t>能效“领跑者”名</w:t>
      </w:r>
      <w:r>
        <w:rPr>
          <w:rFonts w:hint="eastAsia" w:ascii="仿宋_GB2312" w:hAnsi="仿宋_GB2312" w:eastAsia="仿宋_GB2312" w:cs="仿宋_GB2312"/>
          <w:color w:val="auto"/>
          <w:kern w:val="0"/>
          <w:sz w:val="32"/>
          <w:szCs w:val="32"/>
          <w:lang w:eastAsia="zh-CN"/>
        </w:rPr>
        <w:t>单</w:t>
      </w:r>
      <w:r>
        <w:rPr>
          <w:rFonts w:hint="eastAsia" w:ascii="仿宋_GB2312" w:hAnsi="仿宋_GB2312" w:eastAsia="仿宋_GB2312" w:cs="仿宋_GB2312"/>
          <w:color w:val="auto"/>
          <w:kern w:val="0"/>
          <w:sz w:val="32"/>
          <w:szCs w:val="32"/>
          <w:lang w:val="en-US" w:eastAsia="zh-CN"/>
        </w:rPr>
        <w:t>。</w:t>
      </w: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（二）研究制定技术改造实施方案。</w:t>
      </w:r>
      <w:r>
        <w:rPr>
          <w:rFonts w:hint="eastAsia" w:ascii="仿宋_GB2312" w:hAnsi="仿宋_GB2312" w:eastAsia="仿宋_GB2312" w:cs="仿宋_GB2312"/>
          <w:color w:val="auto"/>
          <w:kern w:val="0"/>
          <w:sz w:val="32"/>
          <w:szCs w:val="32"/>
          <w:lang w:val="en-US" w:eastAsia="zh-CN"/>
        </w:rPr>
        <w:t>针对钢铁、电解铝、水泥、平板玻璃等行业能效水平低于基准水平的企业，组织企业结合实际选取行业节能先进适用技术，提出技术改造初步方案。由省工信厅、省发展改革委委托第三方机构结合企业初步方案，在确保经济平稳运行、社会民生稳定的基础上，根据能效水平落后程度，制定《甘肃省冶金、建材重点行业企业</w:t>
      </w:r>
      <w:r>
        <w:rPr>
          <w:rFonts w:hint="eastAsia" w:ascii="仿宋_GB2312" w:hAnsi="仿宋_GB2312" w:eastAsia="仿宋_GB2312" w:cs="仿宋_GB2312"/>
          <w:color w:val="auto"/>
          <w:kern w:val="0"/>
          <w:sz w:val="32"/>
          <w:szCs w:val="32"/>
        </w:rPr>
        <w:t>节能降碳</w:t>
      </w:r>
      <w:r>
        <w:rPr>
          <w:rFonts w:hint="eastAsia" w:ascii="仿宋_GB2312" w:hAnsi="仿宋_GB2312" w:eastAsia="仿宋_GB2312" w:cs="仿宋_GB2312"/>
          <w:color w:val="auto"/>
          <w:kern w:val="0"/>
          <w:sz w:val="32"/>
          <w:szCs w:val="32"/>
          <w:lang w:val="en-US" w:eastAsia="zh-CN"/>
        </w:rPr>
        <w:t>技术改造总体实施方案》，科学合理制定不同企业节能改造时间表，明确推进步骤、改造期限、技术路线、工作节点、预期目标等。实施方案需组织开展专家论证，广泛征求相关企业及其所在地方政府、行业协会意见，并在实施前在省发展改革委、省工信厅门户网站面向社会公示。各技术改造企业根据省级技术改造总体实施方案同步制定周密细致的具体工作方案，明确具体工作步骤、技术方案、资金渠道、时间节点、阶段目标、总体成效等落实措施。</w:t>
      </w: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（三）稳妥有序组织企业实施改造。</w:t>
      </w:r>
      <w:r>
        <w:rPr>
          <w:rFonts w:hint="eastAsia" w:ascii="仿宋_GB2312" w:hAnsi="仿宋_GB2312" w:eastAsia="仿宋_GB2312" w:cs="仿宋_GB2312"/>
          <w:color w:val="auto"/>
          <w:kern w:val="0"/>
          <w:sz w:val="32"/>
          <w:szCs w:val="32"/>
          <w:lang w:val="en-US" w:eastAsia="zh-CN"/>
        </w:rPr>
        <w:t>根据省级技术改造总体实施方案和企业工作方案，各地要指导帮助企业落实好改造所需资金，引导金融机构加大对符合条件的节能降碳项目给予融资支持，积极协助企业解决改造过程中存在的困难问题，稳步推进企业实施技术改造。鼓励能效介于标杆水平和基准水平之间的企业，结合设备检修、厂房改造等时机，参照标杆水平实施节能降碳技术改造升级。改造过程中，在落实产能置换等要求前提下，鼓励企业开展兼并重组。</w:t>
      </w: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楷体_GB2312" w:hAnsi="楷体_GB2312" w:eastAsia="楷体_GB2312" w:cs="楷体_GB2312"/>
          <w:b w:val="0"/>
          <w:bCs w:val="0"/>
          <w:color w:val="auto"/>
          <w:kern w:val="0"/>
          <w:sz w:val="32"/>
          <w:szCs w:val="32"/>
          <w:lang w:val="en-US" w:eastAsia="zh-CN"/>
        </w:rPr>
        <w:t>（四）积极引导低效产能有序退出。</w:t>
      </w:r>
      <w:r>
        <w:rPr>
          <w:rFonts w:hint="eastAsia" w:ascii="仿宋_GB2312" w:hAnsi="仿宋_GB2312" w:eastAsia="仿宋_GB2312" w:cs="仿宋_GB2312"/>
          <w:color w:val="auto"/>
          <w:kern w:val="0"/>
          <w:sz w:val="32"/>
          <w:szCs w:val="32"/>
          <w:lang w:val="en-US" w:eastAsia="zh-CN"/>
        </w:rPr>
        <w:t>发展改革部门要严把项目立项关，通过节能审查、环评审查等手段，综合发挥能耗、排放等约束性指标作用，严格执行《产业结构调整指导目录》等政策规定，引导低效产能有序退出。对确有必要新建的项目，工信部门要指导有关企业严格执行产能置换工作要求，新建钢铁项目严格实行《钢铁行业产能置换实施办法》，新建电解铝、水泥、平板玻璃项目实施产能等量或减量置换，对于违规上马、未批先建项目，依法依规严肃查处相关责任人员、单位和企业。工信部门要加大淘汰落后产能工作力度，加快推动落后生产工艺、技术、设备淘汰退出。</w:t>
      </w: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五</w:t>
      </w: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加强</w:t>
      </w:r>
      <w:r>
        <w:rPr>
          <w:rFonts w:hint="eastAsia" w:ascii="楷体_GB2312" w:hAnsi="楷体_GB2312" w:eastAsia="楷体_GB2312" w:cs="楷体_GB2312"/>
          <w:b w:val="0"/>
          <w:bCs w:val="0"/>
          <w:color w:val="auto"/>
          <w:kern w:val="0"/>
          <w:sz w:val="32"/>
          <w:szCs w:val="32"/>
          <w:lang w:val="en-US" w:eastAsia="zh-CN"/>
        </w:rPr>
        <w:t>绿色低碳技术研发应用。</w:t>
      </w:r>
      <w:r>
        <w:rPr>
          <w:rFonts w:hint="eastAsia" w:ascii="仿宋_GB2312" w:hAnsi="仿宋_GB2312" w:eastAsia="仿宋_GB2312" w:cs="仿宋_GB2312"/>
          <w:color w:val="auto"/>
          <w:kern w:val="0"/>
          <w:sz w:val="32"/>
          <w:szCs w:val="32"/>
          <w:lang w:val="en-US" w:eastAsia="zh-CN"/>
        </w:rPr>
        <w:t>积极组织钢铁、电解铝等我省重点行业具备科研条件的龙头企业，研究节能低碳技术发展路线，</w:t>
      </w:r>
      <w:r>
        <w:rPr>
          <w:rFonts w:hint="eastAsia" w:ascii="仿宋_GB2312" w:hAnsi="仿宋_GB2312" w:eastAsia="仿宋_GB2312" w:cs="仿宋_GB2312"/>
          <w:color w:val="auto"/>
          <w:kern w:val="0"/>
          <w:sz w:val="32"/>
          <w:szCs w:val="32"/>
        </w:rPr>
        <w:t>梳理改造提升的技术难点和装备短板，</w:t>
      </w:r>
      <w:r>
        <w:rPr>
          <w:rFonts w:hint="eastAsia" w:ascii="仿宋_GB2312" w:hAnsi="仿宋_GB2312" w:eastAsia="仿宋_GB2312" w:cs="仿宋_GB2312"/>
          <w:color w:val="auto"/>
          <w:kern w:val="0"/>
          <w:sz w:val="32"/>
          <w:szCs w:val="32"/>
          <w:lang w:eastAsia="zh-CN"/>
        </w:rPr>
        <w:t>组织实施科技计划项目，支持有条件的企业、科研院所，</w:t>
      </w:r>
      <w:r>
        <w:rPr>
          <w:rFonts w:hint="eastAsia" w:ascii="仿宋_GB2312" w:hAnsi="仿宋_GB2312" w:eastAsia="仿宋_GB2312" w:cs="仿宋_GB2312"/>
          <w:color w:val="auto"/>
          <w:kern w:val="0"/>
          <w:sz w:val="32"/>
          <w:szCs w:val="32"/>
          <w:lang w:val="en-US" w:eastAsia="zh-CN"/>
        </w:rPr>
        <w:t>开展低碳富氢氧气高炉技术、炉顶煤气循环氧气高炉技术、气基熔融还原炼铁工艺技术、稳流保温铝电解槽节能技术、氢能煅烧水泥熟料技术、新型低碳凝胶材料制备技术等节能低碳技术研发。积极引导企业树立产品全生命周期绿色发展理念，开展工业产品绿色设计，加快应用先进适用节能低碳技术，开发优质、高强、长寿命的钢铁、电解铝、水泥、平板玻璃绿色设计产品，引导下游行业选用绿色产品，建设绿色工厂，进一步提升能源利用效率。</w:t>
      </w:r>
    </w:p>
    <w:p>
      <w:pPr>
        <w:widowControl w:val="0"/>
        <w:wordWrap/>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楷体_GB2312" w:hAnsi="楷体_GB2312" w:eastAsia="楷体_GB2312" w:cs="楷体_GB2312"/>
          <w:b w:val="0"/>
          <w:bCs w:val="0"/>
          <w:color w:val="auto"/>
          <w:kern w:val="0"/>
          <w:sz w:val="32"/>
          <w:szCs w:val="32"/>
        </w:rPr>
        <w:t>（六）</w:t>
      </w:r>
      <w:r>
        <w:rPr>
          <w:rFonts w:hint="eastAsia" w:ascii="楷体_GB2312" w:hAnsi="楷体_GB2312" w:eastAsia="楷体_GB2312" w:cs="楷体_GB2312"/>
          <w:b w:val="0"/>
          <w:bCs w:val="0"/>
          <w:color w:val="auto"/>
          <w:kern w:val="0"/>
          <w:sz w:val="32"/>
          <w:szCs w:val="32"/>
          <w:lang w:eastAsia="zh-CN"/>
        </w:rPr>
        <w:t>加快</w:t>
      </w:r>
      <w:r>
        <w:rPr>
          <w:rFonts w:hint="eastAsia" w:ascii="楷体_GB2312" w:hAnsi="楷体_GB2312" w:eastAsia="楷体_GB2312" w:cs="楷体_GB2312"/>
          <w:b w:val="0"/>
          <w:bCs w:val="0"/>
          <w:color w:val="auto"/>
          <w:kern w:val="0"/>
          <w:sz w:val="32"/>
          <w:szCs w:val="32"/>
          <w:lang w:val="en-US" w:eastAsia="zh-CN"/>
        </w:rPr>
        <w:t>推进产业结构优化调整。</w:t>
      </w:r>
      <w:r>
        <w:rPr>
          <w:rFonts w:hint="eastAsia" w:ascii="仿宋_GB2312" w:hAnsi="仿宋_GB2312" w:eastAsia="仿宋_GB2312" w:cs="仿宋_GB2312"/>
          <w:color w:val="auto"/>
          <w:kern w:val="0"/>
          <w:sz w:val="32"/>
          <w:szCs w:val="32"/>
          <w:lang w:val="en-US" w:eastAsia="zh-CN"/>
        </w:rPr>
        <w:t>强化</w:t>
      </w:r>
      <w:r>
        <w:rPr>
          <w:rFonts w:hint="eastAsia" w:ascii="仿宋_GB2312" w:hAnsi="仿宋_GB2312" w:eastAsia="仿宋_GB2312" w:cs="仿宋_GB2312"/>
          <w:color w:val="auto"/>
          <w:kern w:val="0"/>
          <w:sz w:val="32"/>
          <w:szCs w:val="32"/>
        </w:rPr>
        <w:t>环境准入、节能审查与能耗双控政策的</w:t>
      </w:r>
      <w:r>
        <w:rPr>
          <w:rFonts w:hint="eastAsia" w:ascii="仿宋_GB2312" w:hAnsi="仿宋_GB2312" w:eastAsia="仿宋_GB2312" w:cs="仿宋_GB2312"/>
          <w:color w:val="auto"/>
          <w:kern w:val="0"/>
          <w:sz w:val="32"/>
          <w:szCs w:val="32"/>
          <w:lang w:eastAsia="zh-CN"/>
        </w:rPr>
        <w:t>引导约束作用，</w:t>
      </w:r>
      <w:r>
        <w:rPr>
          <w:rFonts w:hint="eastAsia" w:ascii="仿宋_GB2312" w:hAnsi="仿宋_GB2312" w:eastAsia="仿宋_GB2312" w:cs="仿宋_GB2312"/>
          <w:color w:val="auto"/>
          <w:kern w:val="0"/>
          <w:sz w:val="32"/>
          <w:szCs w:val="32"/>
          <w:lang w:val="en-US" w:eastAsia="zh-CN"/>
        </w:rPr>
        <w:t>推动钢铁、电解铝、水泥、平板玻璃等行业聚焦现有产业基地集中集聚发展，优化产线规模和技术装备，提高集约化、现代化水平，进一步优化产业布局，形成规模效益，降低单位产品能耗。积极推动钢铁、电解铝、水泥、平板玻璃等行业兼并重组，鼓励有条件的钢铁企业将长流程炼钢就地改造发展电炉短流程炼钢。</w:t>
      </w:r>
    </w:p>
    <w:p>
      <w:pPr>
        <w:widowControl w:val="0"/>
        <w:wordWrap/>
        <w:adjustRightInd/>
        <w:snapToGrid/>
        <w:spacing w:line="640" w:lineRule="exact"/>
        <w:ind w:left="0" w:leftChars="0" w:right="0" w:firstLine="640" w:firstLineChars="200"/>
        <w:jc w:val="both"/>
        <w:textAlignment w:val="auto"/>
        <w:outlineLvl w:val="9"/>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三、</w:t>
      </w:r>
      <w:r>
        <w:rPr>
          <w:rFonts w:hint="eastAsia" w:ascii="黑体" w:hAnsi="黑体" w:eastAsia="黑体" w:cs="黑体"/>
          <w:b w:val="0"/>
          <w:bCs w:val="0"/>
          <w:color w:val="auto"/>
          <w:kern w:val="0"/>
          <w:sz w:val="32"/>
          <w:szCs w:val="32"/>
          <w:lang w:eastAsia="zh-CN"/>
        </w:rPr>
        <w:t>工作要求</w:t>
      </w:r>
    </w:p>
    <w:p>
      <w:pPr>
        <w:widowControl w:val="0"/>
        <w:wordWrap/>
        <w:adjustRightInd/>
        <w:snapToGrid/>
        <w:spacing w:line="640" w:lineRule="exact"/>
        <w:ind w:left="0" w:leftChars="0" w:right="0" w:firstLine="640" w:firstLineChars="200"/>
        <w:jc w:val="both"/>
        <w:textAlignment w:val="auto"/>
        <w:outlineLvl w:val="9"/>
        <w:rPr>
          <w:rFonts w:hint="eastAsia" w:ascii="黑体" w:hAnsi="黑体" w:eastAsia="黑体" w:cs="黑体"/>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各有关部门要加强协同配合，形成工作合力，确保各项工作按时限要求有序推进。各地方要高度重视，进一步靠实属地责任，切实发挥监管职能，</w:t>
      </w:r>
      <w:r>
        <w:rPr>
          <w:rFonts w:hint="eastAsia" w:ascii="仿宋_GB2312" w:hAnsi="仿宋_GB2312" w:eastAsia="仿宋_GB2312" w:cs="仿宋_GB2312"/>
          <w:color w:val="auto"/>
          <w:kern w:val="0"/>
          <w:sz w:val="32"/>
          <w:szCs w:val="32"/>
        </w:rPr>
        <w:t>确保相关政策标准</w:t>
      </w:r>
      <w:r>
        <w:rPr>
          <w:rFonts w:hint="eastAsia" w:ascii="仿宋_GB2312" w:hAnsi="仿宋_GB2312" w:eastAsia="仿宋_GB2312" w:cs="仿宋_GB2312"/>
          <w:color w:val="auto"/>
          <w:kern w:val="0"/>
          <w:sz w:val="32"/>
          <w:szCs w:val="32"/>
          <w:lang w:eastAsia="zh-CN"/>
        </w:rPr>
        <w:t>和要求执行到位</w:t>
      </w:r>
      <w:r>
        <w:rPr>
          <w:rFonts w:hint="eastAsia" w:ascii="仿宋_GB2312" w:hAnsi="仿宋_GB2312" w:eastAsia="仿宋_GB2312" w:cs="仿宋_GB2312"/>
          <w:color w:val="auto"/>
          <w:kern w:val="0"/>
          <w:sz w:val="32"/>
          <w:szCs w:val="32"/>
          <w:lang w:val="en-US" w:eastAsia="zh-CN"/>
        </w:rPr>
        <w:t>。有关行业协会要充分发挥桥梁纽带作用，引导行业企业凝聚共识，形成一致行动，协同推进节能降碳工作。有关企业要强化绿色低碳发展意识，落实主体责任，严格按照时间节点要求完成各项任务。</w:t>
      </w:r>
    </w:p>
    <w:sectPr>
      <w:headerReference r:id="rId3" w:type="default"/>
      <w:footerReference r:id="rId4" w:type="default"/>
      <w:pgSz w:w="11906" w:h="16838"/>
      <w:pgMar w:top="1440" w:right="1800" w:bottom="1440" w:left="1800"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方正书宋_GBK"/>
    <w:panose1 w:val="02010600040101010101"/>
    <w:charset w:val="86"/>
    <w:family w:val="auto"/>
    <w:pitch w:val="default"/>
    <w:sig w:usb0="00000000" w:usb1="0000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iiwgorEBAABOAwAADgAAAAAAAAABACAAAAA0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07C"/>
    <w:rsid w:val="001C635F"/>
    <w:rsid w:val="0038243D"/>
    <w:rsid w:val="006C43C4"/>
    <w:rsid w:val="00A20E12"/>
    <w:rsid w:val="00B04DEA"/>
    <w:rsid w:val="00C31600"/>
    <w:rsid w:val="00C50A87"/>
    <w:rsid w:val="00D7610E"/>
    <w:rsid w:val="00DE74D8"/>
    <w:rsid w:val="00E13601"/>
    <w:rsid w:val="00ED15EA"/>
    <w:rsid w:val="00F212A3"/>
    <w:rsid w:val="01BB7684"/>
    <w:rsid w:val="01CB2F01"/>
    <w:rsid w:val="03BB5C30"/>
    <w:rsid w:val="05D46184"/>
    <w:rsid w:val="084A7C0C"/>
    <w:rsid w:val="098D603B"/>
    <w:rsid w:val="0AB66DA2"/>
    <w:rsid w:val="0C2549FA"/>
    <w:rsid w:val="0C433E13"/>
    <w:rsid w:val="0D616980"/>
    <w:rsid w:val="10732A8B"/>
    <w:rsid w:val="11AA5A4D"/>
    <w:rsid w:val="1AE93EB4"/>
    <w:rsid w:val="206800B8"/>
    <w:rsid w:val="210C1585"/>
    <w:rsid w:val="219168A1"/>
    <w:rsid w:val="224D2C37"/>
    <w:rsid w:val="22D8227E"/>
    <w:rsid w:val="2300643E"/>
    <w:rsid w:val="250826D0"/>
    <w:rsid w:val="26761106"/>
    <w:rsid w:val="27A12394"/>
    <w:rsid w:val="27DC0EF4"/>
    <w:rsid w:val="2A4F0978"/>
    <w:rsid w:val="2C187F64"/>
    <w:rsid w:val="2C3F5353"/>
    <w:rsid w:val="2F494923"/>
    <w:rsid w:val="2FDB060F"/>
    <w:rsid w:val="303A3605"/>
    <w:rsid w:val="3069435A"/>
    <w:rsid w:val="318C5C89"/>
    <w:rsid w:val="34F4706D"/>
    <w:rsid w:val="36063A32"/>
    <w:rsid w:val="366A5CD5"/>
    <w:rsid w:val="36E41D9C"/>
    <w:rsid w:val="375458D3"/>
    <w:rsid w:val="37AD3321"/>
    <w:rsid w:val="392F1CE1"/>
    <w:rsid w:val="3B59241A"/>
    <w:rsid w:val="3CD165D4"/>
    <w:rsid w:val="401C02BA"/>
    <w:rsid w:val="44703AD7"/>
    <w:rsid w:val="4535259B"/>
    <w:rsid w:val="4B851076"/>
    <w:rsid w:val="4BBA244A"/>
    <w:rsid w:val="4D5A1EF6"/>
    <w:rsid w:val="506D3443"/>
    <w:rsid w:val="51FC418E"/>
    <w:rsid w:val="55FE5622"/>
    <w:rsid w:val="566775D0"/>
    <w:rsid w:val="56FB6FA3"/>
    <w:rsid w:val="58894CCC"/>
    <w:rsid w:val="5A687760"/>
    <w:rsid w:val="5CAF2E9D"/>
    <w:rsid w:val="60474C82"/>
    <w:rsid w:val="618E77B8"/>
    <w:rsid w:val="634D3C76"/>
    <w:rsid w:val="65FF381D"/>
    <w:rsid w:val="668937C7"/>
    <w:rsid w:val="685B68C1"/>
    <w:rsid w:val="69756114"/>
    <w:rsid w:val="699A5CE6"/>
    <w:rsid w:val="69AC07ED"/>
    <w:rsid w:val="6B073028"/>
    <w:rsid w:val="6BF32731"/>
    <w:rsid w:val="6F3E4470"/>
    <w:rsid w:val="72DE1BBC"/>
    <w:rsid w:val="746D75F0"/>
    <w:rsid w:val="7471234A"/>
    <w:rsid w:val="760F39BF"/>
    <w:rsid w:val="7AFFD90A"/>
    <w:rsid w:val="7B51254B"/>
    <w:rsid w:val="7EBFCD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Emphasis"/>
    <w:basedOn w:val="7"/>
    <w:qFormat/>
    <w:uiPriority w:val="20"/>
    <w:rPr>
      <w:i/>
    </w:rPr>
  </w:style>
  <w:style w:type="paragraph" w:customStyle="1" w:styleId="10">
    <w:name w:val="Default"/>
    <w:unhideWhenUsed/>
    <w:qFormat/>
    <w:uiPriority w:val="99"/>
    <w:pPr>
      <w:widowControl w:val="0"/>
      <w:autoSpaceDE w:val="0"/>
      <w:autoSpaceDN w:val="0"/>
      <w:adjustRightInd w:val="0"/>
      <w:spacing w:beforeLines="0" w:afterLines="0"/>
    </w:pPr>
    <w:rPr>
      <w:rFonts w:hint="eastAsia" w:ascii="Times New Roman" w:hAnsi="Times New Roman" w:eastAsia="Times New Roman"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519</Words>
  <Characters>2961</Characters>
  <Lines>24</Lines>
  <Paragraphs>6</Paragraphs>
  <TotalTime>6</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2021-10-23T17:24:00Z</dcterms:created>
  <dc:creator>Think</dc:creator>
  <cp:lastModifiedBy>greatwall</cp:lastModifiedBy>
  <cp:lastPrinted>2022-03-24T09:33:49Z</cp:lastPrinted>
  <dcterms:modified xsi:type="dcterms:W3CDTF">2022-03-24T11:35:16Z</dcterms:modified>
  <dc:title>关于严格能效约束推动重点领域节能降碳的实施方案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